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300C7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4,105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00C7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0,849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300C75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C67073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300C7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4,105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300C7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0,849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300C75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>зе территориальной сетевой организации по уровням напряжени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я за </w:t>
      </w:r>
      <w:r w:rsidR="005A4F7A">
        <w:rPr>
          <w:rFonts w:ascii="Times New Roman" w:hAnsi="Times New Roman" w:cs="Times New Roman"/>
          <w:b/>
          <w:sz w:val="28"/>
          <w:szCs w:val="28"/>
        </w:rPr>
        <w:t>май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105CF"/>
    <w:rsid w:val="00363038"/>
    <w:rsid w:val="00382BC7"/>
    <w:rsid w:val="00386CAA"/>
    <w:rsid w:val="00396D3B"/>
    <w:rsid w:val="003D74D9"/>
    <w:rsid w:val="00457B0C"/>
    <w:rsid w:val="0046116E"/>
    <w:rsid w:val="00477599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CB74FD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0EE3"/>
  <w15:docId w15:val="{1D269F51-9068-47EC-B807-BE874AB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63</cp:revision>
  <dcterms:created xsi:type="dcterms:W3CDTF">2017-01-23T02:45:00Z</dcterms:created>
  <dcterms:modified xsi:type="dcterms:W3CDTF">2022-06-02T08:41:00Z</dcterms:modified>
</cp:coreProperties>
</file>